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5B3" w:rsidRPr="00745BC0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b/>
          <w:bCs/>
          <w:sz w:val="24"/>
          <w:szCs w:val="24"/>
        </w:rPr>
      </w:pPr>
      <w:r w:rsidRPr="00745BC0">
        <w:rPr>
          <w:rStyle w:val="a"/>
          <w:rFonts w:asciiTheme="minorHAnsi" w:hAnsiTheme="minorHAnsi" w:cstheme="minorHAnsi"/>
          <w:b/>
          <w:bCs/>
          <w:sz w:val="24"/>
          <w:szCs w:val="24"/>
        </w:rPr>
        <w:t>Selected Papers and Publications:</w:t>
      </w:r>
    </w:p>
    <w:p w:rsidR="009945B3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Do firms redact information from material contracts to conceal bad news? (with </w:t>
      </w:r>
      <w:proofErr w:type="spellStart"/>
      <w:r w:rsidRPr="008F4AAB">
        <w:rPr>
          <w:rStyle w:val="a"/>
          <w:rFonts w:asciiTheme="minorHAnsi" w:hAnsiTheme="minorHAnsi" w:cstheme="minorHAnsi"/>
          <w:sz w:val="24"/>
          <w:szCs w:val="24"/>
        </w:rPr>
        <w:t>Dichu</w:t>
      </w:r>
      <w:proofErr w:type="spellEnd"/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 Bao and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Lixin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(Nancy)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), </w:t>
      </w:r>
      <w:r w:rsidRPr="008F4AAB">
        <w:rPr>
          <w:rStyle w:val="a"/>
          <w:rFonts w:asciiTheme="minorHAnsi" w:hAnsiTheme="minorHAnsi" w:cstheme="minorHAnsi"/>
          <w:i/>
          <w:sz w:val="24"/>
          <w:szCs w:val="24"/>
        </w:rPr>
        <w:t>The Accounting Review</w:t>
      </w:r>
      <w:r w:rsidRPr="008F4AAB">
        <w:rPr>
          <w:rFonts w:asciiTheme="minorHAnsi" w:hAnsiTheme="minorHAnsi" w:cstheme="minorHAnsi"/>
          <w:spacing w:val="-6"/>
          <w:sz w:val="24"/>
          <w:szCs w:val="24"/>
        </w:rPr>
        <w:t>, 2022, Volume 97, Issue 5, 29-57.</w:t>
      </w:r>
    </w:p>
    <w:p w:rsidR="006A7ED2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hyperlink r:id="rId4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https://doi.org/10.2308/TAR-2020-0255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Policy uncertainty and accounting quality, (with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Sadok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El Ghoul,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Omrane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Guedhami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, and Hyo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Jin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Yoon</w:t>
      </w: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), </w:t>
      </w:r>
      <w:r w:rsidRPr="008F4AAB">
        <w:rPr>
          <w:rStyle w:val="a"/>
          <w:rFonts w:asciiTheme="minorHAnsi" w:hAnsiTheme="minorHAnsi" w:cstheme="minorHAnsi"/>
          <w:i/>
          <w:sz w:val="24"/>
          <w:szCs w:val="24"/>
        </w:rPr>
        <w:t>The Accounting Review</w:t>
      </w:r>
      <w:r w:rsidRPr="008F4AAB">
        <w:rPr>
          <w:rFonts w:asciiTheme="minorHAnsi" w:hAnsiTheme="minorHAnsi" w:cstheme="minorHAnsi"/>
          <w:spacing w:val="-6"/>
          <w:sz w:val="24"/>
          <w:szCs w:val="24"/>
        </w:rPr>
        <w:t>, 2021, Volume 96, Issue 4, 233-260.</w:t>
      </w:r>
    </w:p>
    <w:p w:rsidR="006A7ED2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hyperlink r:id="rId5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https://doi.org/10.2308/TAR-2018-0057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8F4AAB">
        <w:rPr>
          <w:rFonts w:asciiTheme="minorHAnsi" w:hAnsiTheme="minorHAnsi" w:cstheme="minorHAnsi"/>
          <w:sz w:val="24"/>
          <w:szCs w:val="24"/>
        </w:rPr>
        <w:t xml:space="preserve">The effect of trade secrets law on stock price synchronicity: Evidence from the Inevitable Disclosure Doctrine, (with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Lixin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(Nancy)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, Zheng Wang, and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Haibin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Wu), </w:t>
      </w:r>
      <w:r w:rsidRPr="008F4AAB">
        <w:rPr>
          <w:rFonts w:asciiTheme="minorHAnsi" w:hAnsiTheme="minorHAnsi" w:cstheme="minorHAnsi"/>
          <w:i/>
          <w:iCs/>
          <w:sz w:val="24"/>
          <w:szCs w:val="24"/>
        </w:rPr>
        <w:t>The Accounting Review</w:t>
      </w:r>
      <w:r w:rsidRPr="008F4AAB">
        <w:rPr>
          <w:rFonts w:asciiTheme="minorHAnsi" w:hAnsiTheme="minorHAnsi" w:cstheme="minorHAnsi"/>
          <w:sz w:val="24"/>
          <w:szCs w:val="24"/>
        </w:rPr>
        <w:t>, 2021, Volume 96, Issue 1, 325-348.</w:t>
      </w:r>
    </w:p>
    <w:p w:rsidR="006A7ED2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hyperlink r:id="rId6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https://doi.org/10.2308/tar-2017-0425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pacing w:val="2"/>
          <w:sz w:val="24"/>
          <w:szCs w:val="24"/>
        </w:rPr>
      </w:pPr>
      <w:r w:rsidRPr="008F4AAB">
        <w:rPr>
          <w:rStyle w:val="a"/>
          <w:rFonts w:asciiTheme="minorHAnsi" w:hAnsiTheme="minorHAnsi" w:cstheme="minorHAnsi"/>
          <w:spacing w:val="2"/>
          <w:sz w:val="24"/>
          <w:szCs w:val="24"/>
        </w:rPr>
        <w:t xml:space="preserve">PCAOB international inspections and merger and acquisition outcomes, (with </w:t>
      </w:r>
      <w:proofErr w:type="spellStart"/>
      <w:r w:rsidRPr="008F4AAB">
        <w:rPr>
          <w:rFonts w:asciiTheme="minorHAnsi" w:hAnsiTheme="minorHAnsi" w:cstheme="minorHAnsi"/>
          <w:spacing w:val="2"/>
          <w:sz w:val="24"/>
          <w:szCs w:val="24"/>
        </w:rPr>
        <w:t>Lixin</w:t>
      </w:r>
      <w:proofErr w:type="spellEnd"/>
      <w:r w:rsidRPr="008F4AAB">
        <w:rPr>
          <w:rFonts w:asciiTheme="minorHAnsi" w:hAnsiTheme="minorHAnsi" w:cstheme="minorHAnsi"/>
          <w:spacing w:val="2"/>
          <w:sz w:val="24"/>
          <w:szCs w:val="24"/>
        </w:rPr>
        <w:t xml:space="preserve"> (Nancy) </w:t>
      </w:r>
      <w:proofErr w:type="spellStart"/>
      <w:r w:rsidRPr="008F4AAB">
        <w:rPr>
          <w:rFonts w:asciiTheme="minorHAnsi" w:hAnsiTheme="minorHAnsi" w:cstheme="minorHAnsi"/>
          <w:spacing w:val="2"/>
          <w:sz w:val="24"/>
          <w:szCs w:val="24"/>
        </w:rPr>
        <w:t>Su</w:t>
      </w:r>
      <w:proofErr w:type="spellEnd"/>
      <w:r w:rsidRPr="008F4AAB">
        <w:rPr>
          <w:rStyle w:val="a"/>
          <w:rFonts w:asciiTheme="minorHAnsi" w:hAnsiTheme="minorHAnsi" w:cstheme="minorHAnsi"/>
          <w:spacing w:val="2"/>
          <w:sz w:val="24"/>
          <w:szCs w:val="24"/>
        </w:rPr>
        <w:t xml:space="preserve">, </w:t>
      </w:r>
      <w:proofErr w:type="spellStart"/>
      <w:r w:rsidRPr="008F4AAB">
        <w:rPr>
          <w:rStyle w:val="a"/>
          <w:rFonts w:asciiTheme="minorHAnsi" w:hAnsiTheme="minorHAnsi" w:cstheme="minorHAnsi"/>
          <w:spacing w:val="2"/>
          <w:sz w:val="24"/>
          <w:szCs w:val="24"/>
        </w:rPr>
        <w:t>Gaoguang</w:t>
      </w:r>
      <w:proofErr w:type="spellEnd"/>
      <w:r w:rsidRPr="008F4AAB">
        <w:rPr>
          <w:rStyle w:val="a"/>
          <w:rFonts w:asciiTheme="minorHAnsi" w:hAnsiTheme="minorHAnsi" w:cstheme="minorHAnsi"/>
          <w:spacing w:val="2"/>
          <w:sz w:val="24"/>
          <w:szCs w:val="24"/>
        </w:rPr>
        <w:t xml:space="preserve"> (Stephen) Zhou, and </w:t>
      </w:r>
      <w:proofErr w:type="spellStart"/>
      <w:r w:rsidRPr="008F4AAB">
        <w:rPr>
          <w:rFonts w:asciiTheme="minorHAnsi" w:hAnsiTheme="minorHAnsi" w:cstheme="minorHAnsi"/>
          <w:spacing w:val="2"/>
          <w:sz w:val="24"/>
          <w:szCs w:val="24"/>
        </w:rPr>
        <w:t>Xindong</w:t>
      </w:r>
      <w:proofErr w:type="spellEnd"/>
      <w:r w:rsidRPr="008F4AAB">
        <w:rPr>
          <w:rFonts w:asciiTheme="minorHAnsi" w:hAnsiTheme="minorHAnsi" w:cstheme="minorHAnsi"/>
          <w:spacing w:val="2"/>
          <w:sz w:val="24"/>
          <w:szCs w:val="24"/>
        </w:rPr>
        <w:t xml:space="preserve"> (Kevin) Zhu</w:t>
      </w:r>
      <w:r w:rsidRPr="008F4AAB">
        <w:rPr>
          <w:rStyle w:val="a"/>
          <w:rFonts w:asciiTheme="minorHAnsi" w:hAnsiTheme="minorHAnsi" w:cstheme="minorHAnsi"/>
          <w:spacing w:val="2"/>
          <w:sz w:val="24"/>
          <w:szCs w:val="24"/>
        </w:rPr>
        <w:t xml:space="preserve">), </w:t>
      </w:r>
      <w:r w:rsidRPr="008F4AAB">
        <w:rPr>
          <w:rStyle w:val="a"/>
          <w:rFonts w:asciiTheme="minorHAnsi" w:hAnsiTheme="minorHAnsi" w:cstheme="minorHAnsi"/>
          <w:i/>
          <w:spacing w:val="2"/>
          <w:sz w:val="24"/>
          <w:szCs w:val="24"/>
        </w:rPr>
        <w:t>Journal of Accounting and Economics</w:t>
      </w:r>
      <w:r w:rsidRPr="008F4AAB">
        <w:rPr>
          <w:rFonts w:asciiTheme="minorHAnsi" w:hAnsiTheme="minorHAnsi" w:cstheme="minorHAnsi"/>
          <w:spacing w:val="2"/>
          <w:sz w:val="24"/>
          <w:szCs w:val="24"/>
        </w:rPr>
        <w:t xml:space="preserve">, </w:t>
      </w:r>
      <w:r w:rsidRPr="008F4AAB">
        <w:rPr>
          <w:rStyle w:val="a"/>
          <w:rFonts w:asciiTheme="minorHAnsi" w:hAnsiTheme="minorHAnsi" w:cstheme="minorHAnsi"/>
          <w:spacing w:val="2"/>
          <w:sz w:val="24"/>
          <w:szCs w:val="24"/>
        </w:rPr>
        <w:t>2020, Volume 70, 101318.</w:t>
      </w:r>
    </w:p>
    <w:p w:rsidR="006A7ED2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hyperlink r:id="rId7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https://doi.org/10.1016/j.jacceco.2020.101318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Information externalities and voluntary disclosure: Evidence from a major customer’s earnings announcement, (with Young Jun Cho and </w:t>
      </w:r>
      <w:proofErr w:type="spellStart"/>
      <w:r w:rsidRPr="008F4AAB">
        <w:rPr>
          <w:rStyle w:val="a"/>
          <w:rFonts w:asciiTheme="minorHAnsi" w:hAnsiTheme="minorHAnsi" w:cstheme="minorHAnsi"/>
          <w:sz w:val="24"/>
          <w:szCs w:val="24"/>
        </w:rPr>
        <w:t>Yoonseok</w:t>
      </w:r>
      <w:proofErr w:type="spellEnd"/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 Zang), </w:t>
      </w:r>
      <w:r w:rsidRPr="008F4AAB">
        <w:rPr>
          <w:rStyle w:val="a"/>
          <w:rFonts w:asciiTheme="minorHAnsi" w:hAnsiTheme="minorHAnsi" w:cstheme="minorHAnsi"/>
          <w:i/>
          <w:sz w:val="24"/>
          <w:szCs w:val="24"/>
        </w:rPr>
        <w:t>The Accounting Review</w:t>
      </w:r>
      <w:r w:rsidRPr="008F4AAB">
        <w:rPr>
          <w:rStyle w:val="a"/>
          <w:rFonts w:asciiTheme="minorHAnsi" w:hAnsiTheme="minorHAnsi" w:cstheme="minorHAnsi"/>
          <w:sz w:val="24"/>
          <w:szCs w:val="24"/>
        </w:rPr>
        <w:t>, 2020, Volume 95, Issue 6, 73-96.</w:t>
      </w:r>
    </w:p>
    <w:p w:rsidR="006A7ED2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hyperlink r:id="rId8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https://doi.org/10.2308/tar-2017-0129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Do managers disclose or withhold bad news? Evidence from short interest, (with </w:t>
      </w:r>
      <w:proofErr w:type="spellStart"/>
      <w:r w:rsidRPr="008F4AAB">
        <w:rPr>
          <w:rStyle w:val="a"/>
          <w:rFonts w:asciiTheme="minorHAnsi" w:hAnsiTheme="minorHAnsi" w:cstheme="minorHAnsi"/>
          <w:sz w:val="24"/>
          <w:szCs w:val="24"/>
        </w:rPr>
        <w:t>Dichu</w:t>
      </w:r>
      <w:proofErr w:type="spellEnd"/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 Bao, Mujtaba Mian, and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Lixin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(Nancy)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), </w:t>
      </w:r>
      <w:r w:rsidRPr="008F4AAB">
        <w:rPr>
          <w:rStyle w:val="a"/>
          <w:rFonts w:asciiTheme="minorHAnsi" w:hAnsiTheme="minorHAnsi" w:cstheme="minorHAnsi"/>
          <w:i/>
          <w:sz w:val="24"/>
          <w:szCs w:val="24"/>
        </w:rPr>
        <w:t>The Accounting Review</w:t>
      </w:r>
      <w:r w:rsidRPr="008F4AAB">
        <w:rPr>
          <w:rStyle w:val="a"/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2019, </w:t>
      </w:r>
      <w:r w:rsidRPr="008F4AAB">
        <w:rPr>
          <w:rStyle w:val="a"/>
          <w:rFonts w:asciiTheme="minorHAnsi" w:hAnsiTheme="minorHAnsi" w:cstheme="minorHAnsi"/>
          <w:spacing w:val="-4"/>
          <w:sz w:val="24"/>
          <w:szCs w:val="24"/>
        </w:rPr>
        <w:t>Volume 94, Issue 3, 1-26.</w:t>
      </w:r>
    </w:p>
    <w:p w:rsidR="006A7ED2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hyperlink r:id="rId9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https://doi.org/10.2308/accr-52205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Heading2"/>
        <w:snapToGrid w:val="0"/>
        <w:jc w:val="both"/>
        <w:rPr>
          <w:rStyle w:val="a"/>
          <w:rFonts w:asciiTheme="minorHAnsi" w:hAnsiTheme="minorHAnsi" w:cstheme="minorHAnsi"/>
          <w:spacing w:val="-6"/>
          <w:sz w:val="24"/>
        </w:rPr>
      </w:pPr>
      <w:r w:rsidRPr="008F4AAB">
        <w:rPr>
          <w:rFonts w:asciiTheme="minorHAnsi" w:hAnsiTheme="minorHAnsi" w:cstheme="minorHAnsi"/>
          <w:spacing w:val="-6"/>
          <w:sz w:val="24"/>
        </w:rPr>
        <w:t xml:space="preserve">Country-level institutions, firm value, and the role of corporate social responsibility initiatives, (with </w:t>
      </w:r>
      <w:proofErr w:type="spellStart"/>
      <w:r w:rsidRPr="008F4AAB">
        <w:rPr>
          <w:rFonts w:asciiTheme="minorHAnsi" w:hAnsiTheme="minorHAnsi" w:cstheme="minorHAnsi"/>
          <w:spacing w:val="-6"/>
          <w:sz w:val="24"/>
        </w:rPr>
        <w:t>Sadok</w:t>
      </w:r>
      <w:proofErr w:type="spellEnd"/>
      <w:r w:rsidRPr="008F4AAB">
        <w:rPr>
          <w:rFonts w:asciiTheme="minorHAnsi" w:hAnsiTheme="minorHAnsi" w:cstheme="minorHAnsi"/>
          <w:spacing w:val="-6"/>
          <w:sz w:val="24"/>
        </w:rPr>
        <w:t xml:space="preserve"> El Ghoul and </w:t>
      </w:r>
      <w:proofErr w:type="spellStart"/>
      <w:r w:rsidRPr="008F4AAB">
        <w:rPr>
          <w:rFonts w:asciiTheme="minorHAnsi" w:hAnsiTheme="minorHAnsi" w:cstheme="minorHAnsi"/>
          <w:spacing w:val="-6"/>
          <w:sz w:val="24"/>
        </w:rPr>
        <w:t>Omrane</w:t>
      </w:r>
      <w:proofErr w:type="spellEnd"/>
      <w:r w:rsidRPr="008F4AAB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8F4AAB">
        <w:rPr>
          <w:rFonts w:asciiTheme="minorHAnsi" w:hAnsiTheme="minorHAnsi" w:cstheme="minorHAnsi"/>
          <w:spacing w:val="-6"/>
          <w:sz w:val="24"/>
        </w:rPr>
        <w:t>Guedhami</w:t>
      </w:r>
      <w:proofErr w:type="spellEnd"/>
      <w:r w:rsidRPr="008F4AAB">
        <w:rPr>
          <w:rFonts w:asciiTheme="minorHAnsi" w:hAnsiTheme="minorHAnsi" w:cstheme="minorHAnsi"/>
          <w:spacing w:val="-6"/>
          <w:sz w:val="24"/>
        </w:rPr>
        <w:t xml:space="preserve">), </w:t>
      </w:r>
      <w:r w:rsidRPr="008F4AAB">
        <w:rPr>
          <w:rFonts w:asciiTheme="minorHAnsi" w:hAnsiTheme="minorHAnsi" w:cstheme="minorHAnsi"/>
          <w:i/>
          <w:spacing w:val="-6"/>
          <w:sz w:val="24"/>
        </w:rPr>
        <w:t>Journal of International Business Studies</w:t>
      </w:r>
      <w:r w:rsidRPr="008F4AAB">
        <w:rPr>
          <w:rFonts w:asciiTheme="minorHAnsi" w:hAnsiTheme="minorHAnsi" w:cstheme="minorHAnsi"/>
          <w:spacing w:val="-6"/>
          <w:sz w:val="24"/>
        </w:rPr>
        <w:t>, 2017, Volume 48, Issue 3, 360–385.</w:t>
      </w:r>
      <w:r w:rsidRPr="008F4AAB">
        <w:rPr>
          <w:rStyle w:val="a"/>
          <w:rFonts w:asciiTheme="minorHAnsi" w:hAnsiTheme="minorHAnsi" w:cstheme="minorHAnsi"/>
          <w:spacing w:val="-6"/>
          <w:sz w:val="24"/>
        </w:rPr>
        <w:t xml:space="preserve"> </w:t>
      </w:r>
    </w:p>
    <w:p w:rsidR="006A7ED2" w:rsidRPr="008F4AAB" w:rsidRDefault="009945B3" w:rsidP="006A7ED2">
      <w:pPr>
        <w:pStyle w:val="Heading2"/>
        <w:snapToGrid w:val="0"/>
        <w:jc w:val="both"/>
        <w:rPr>
          <w:rStyle w:val="a"/>
          <w:rFonts w:asciiTheme="minorHAnsi" w:hAnsiTheme="minorHAnsi" w:cstheme="minorHAnsi"/>
          <w:sz w:val="24"/>
        </w:rPr>
      </w:pPr>
      <w:hyperlink r:id="rId10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</w:rPr>
          <w:t>https://link.springer.com/article/10.1057/jibs.2016.4</w:t>
        </w:r>
      </w:hyperlink>
    </w:p>
    <w:p w:rsidR="009945B3" w:rsidRPr="008F4AAB" w:rsidRDefault="009945B3" w:rsidP="009945B3">
      <w:pPr>
        <w:pStyle w:val="Default"/>
        <w:rPr>
          <w:rFonts w:asciiTheme="minorHAnsi" w:hAnsiTheme="minorHAnsi" w:cstheme="minorHAnsi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Languages and earnings management, (with </w:t>
      </w:r>
      <w:proofErr w:type="spellStart"/>
      <w:r w:rsidRPr="008F4AAB">
        <w:rPr>
          <w:rStyle w:val="a"/>
          <w:rFonts w:asciiTheme="minorHAnsi" w:hAnsiTheme="minorHAnsi" w:cstheme="minorHAnsi"/>
          <w:sz w:val="24"/>
          <w:szCs w:val="24"/>
        </w:rPr>
        <w:t>Jaehyeon</w:t>
      </w:r>
      <w:proofErr w:type="spellEnd"/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 Kim and Jian Zhou), </w:t>
      </w:r>
      <w:r w:rsidRPr="008F4AAB">
        <w:rPr>
          <w:rStyle w:val="a"/>
          <w:rFonts w:asciiTheme="minorHAnsi" w:hAnsiTheme="minorHAnsi" w:cstheme="minorHAnsi"/>
          <w:i/>
          <w:sz w:val="24"/>
          <w:szCs w:val="24"/>
        </w:rPr>
        <w:t>Journal of Accounting and Economics</w:t>
      </w:r>
      <w:r w:rsidRPr="008F4AAB">
        <w:rPr>
          <w:rFonts w:asciiTheme="minorHAnsi" w:hAnsiTheme="minorHAnsi" w:cstheme="minorHAnsi"/>
          <w:sz w:val="24"/>
          <w:szCs w:val="24"/>
        </w:rPr>
        <w:t>, 2017, Volume 63, Issues 2-3, 288-306.</w:t>
      </w:r>
    </w:p>
    <w:p w:rsidR="006A7ED2" w:rsidRPr="008F4AAB" w:rsidRDefault="009945B3" w:rsidP="006A7ED2">
      <w:pPr>
        <w:snapToGrid w:val="0"/>
        <w:jc w:val="both"/>
        <w:rPr>
          <w:rFonts w:asciiTheme="minorHAnsi" w:hAnsiTheme="minorHAnsi" w:cstheme="minorHAnsi"/>
          <w:sz w:val="24"/>
        </w:rPr>
      </w:pPr>
      <w:hyperlink r:id="rId11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</w:rPr>
          <w:t>https://doi.org/10.1016/j.jacceco.2017.04.001</w:t>
        </w:r>
      </w:hyperlink>
    </w:p>
    <w:p w:rsidR="009945B3" w:rsidRPr="008F4AAB" w:rsidRDefault="009945B3" w:rsidP="006A7ED2">
      <w:pPr>
        <w:snapToGrid w:val="0"/>
        <w:jc w:val="both"/>
        <w:rPr>
          <w:rFonts w:asciiTheme="minorHAnsi" w:hAnsiTheme="minorHAnsi" w:cstheme="minorHAnsi"/>
          <w:sz w:val="24"/>
        </w:rPr>
      </w:pPr>
    </w:p>
    <w:p w:rsidR="006A7ED2" w:rsidRPr="008F4AAB" w:rsidRDefault="006A7ED2" w:rsidP="006A7ED2">
      <w:pPr>
        <w:pStyle w:val="Heading2"/>
        <w:snapToGrid w:val="0"/>
        <w:jc w:val="both"/>
        <w:rPr>
          <w:rFonts w:asciiTheme="minorHAnsi" w:hAnsiTheme="minorHAnsi" w:cstheme="minorHAnsi"/>
          <w:sz w:val="24"/>
        </w:rPr>
      </w:pPr>
      <w:r w:rsidRPr="008F4AAB">
        <w:rPr>
          <w:rStyle w:val="a"/>
          <w:rFonts w:asciiTheme="minorHAnsi" w:hAnsiTheme="minorHAnsi" w:cstheme="minorHAnsi"/>
          <w:sz w:val="24"/>
        </w:rPr>
        <w:t xml:space="preserve">Common auditors in M&amp;A transactions, (with Ye Cai, Jong </w:t>
      </w:r>
      <w:proofErr w:type="spellStart"/>
      <w:r w:rsidRPr="008F4AAB">
        <w:rPr>
          <w:rStyle w:val="a"/>
          <w:rFonts w:asciiTheme="minorHAnsi" w:hAnsiTheme="minorHAnsi" w:cstheme="minorHAnsi"/>
          <w:sz w:val="24"/>
        </w:rPr>
        <w:t>Chool</w:t>
      </w:r>
      <w:proofErr w:type="spellEnd"/>
      <w:r w:rsidRPr="008F4AAB">
        <w:rPr>
          <w:rStyle w:val="a"/>
          <w:rFonts w:asciiTheme="minorHAnsi" w:hAnsiTheme="minorHAnsi" w:cstheme="minorHAnsi"/>
          <w:sz w:val="24"/>
        </w:rPr>
        <w:t xml:space="preserve"> Park, and Hal White</w:t>
      </w:r>
      <w:r w:rsidRPr="008F4AAB">
        <w:rPr>
          <w:rFonts w:asciiTheme="minorHAnsi" w:hAnsiTheme="minorHAnsi" w:cstheme="minorHAnsi"/>
          <w:sz w:val="24"/>
        </w:rPr>
        <w:t xml:space="preserve">), </w:t>
      </w:r>
      <w:r w:rsidRPr="008F4AAB">
        <w:rPr>
          <w:rFonts w:asciiTheme="minorHAnsi" w:hAnsiTheme="minorHAnsi" w:cstheme="minorHAnsi"/>
          <w:i/>
          <w:iCs/>
          <w:sz w:val="24"/>
        </w:rPr>
        <w:t>Journal of Accounting and Economics</w:t>
      </w:r>
      <w:r w:rsidRPr="008F4AAB">
        <w:rPr>
          <w:rFonts w:asciiTheme="minorHAnsi" w:hAnsiTheme="minorHAnsi" w:cstheme="minorHAnsi"/>
          <w:sz w:val="24"/>
        </w:rPr>
        <w:t>, 2016, Volume 61, Issue 1, 77-99.</w:t>
      </w:r>
    </w:p>
    <w:p w:rsidR="006A7ED2" w:rsidRPr="008F4AAB" w:rsidRDefault="009945B3" w:rsidP="006A7ED2">
      <w:pPr>
        <w:snapToGrid w:val="0"/>
        <w:jc w:val="both"/>
        <w:rPr>
          <w:rFonts w:asciiTheme="minorHAnsi" w:hAnsiTheme="minorHAnsi" w:cstheme="minorHAnsi"/>
          <w:sz w:val="24"/>
        </w:rPr>
      </w:pPr>
      <w:hyperlink r:id="rId12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</w:rPr>
          <w:t>https://doi.org/10.1016/j.jacceco.2015.01.004</w:t>
        </w:r>
      </w:hyperlink>
    </w:p>
    <w:p w:rsidR="009945B3" w:rsidRPr="008F4AAB" w:rsidRDefault="009945B3" w:rsidP="006A7ED2">
      <w:pPr>
        <w:snapToGrid w:val="0"/>
        <w:jc w:val="both"/>
        <w:rPr>
          <w:rFonts w:asciiTheme="minorHAnsi" w:hAnsiTheme="minorHAnsi" w:cstheme="minorHAnsi"/>
          <w:sz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8F4AAB">
        <w:rPr>
          <w:rFonts w:asciiTheme="minorHAnsi" w:hAnsiTheme="minorHAnsi" w:cstheme="minorHAnsi"/>
          <w:sz w:val="24"/>
          <w:szCs w:val="24"/>
        </w:rPr>
        <w:t xml:space="preserve">Real activities manipulation and auditors’ client retention decisions, (with Myung Seok Park), </w:t>
      </w:r>
      <w:r w:rsidRPr="008F4AAB">
        <w:rPr>
          <w:rFonts w:asciiTheme="minorHAnsi" w:hAnsiTheme="minorHAnsi" w:cstheme="minorHAnsi"/>
          <w:i/>
          <w:iCs/>
          <w:sz w:val="24"/>
          <w:szCs w:val="24"/>
        </w:rPr>
        <w:t>The Accounting Review</w:t>
      </w:r>
      <w:r w:rsidRPr="008F4AAB">
        <w:rPr>
          <w:rFonts w:asciiTheme="minorHAnsi" w:hAnsiTheme="minorHAnsi" w:cstheme="minorHAnsi"/>
          <w:sz w:val="24"/>
          <w:szCs w:val="24"/>
        </w:rPr>
        <w:t xml:space="preserve"> 2014, Volume 89, Issue 1, 367-401.</w:t>
      </w:r>
    </w:p>
    <w:p w:rsidR="006A7ED2" w:rsidRPr="008F4AAB" w:rsidRDefault="009945B3" w:rsidP="006A7ED2">
      <w:pPr>
        <w:pStyle w:val="Default"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https://doi.org/10.2308/accr-50586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snapToGrid w:val="0"/>
        <w:jc w:val="both"/>
        <w:rPr>
          <w:rFonts w:asciiTheme="minorHAnsi" w:hAnsiTheme="minorHAnsi" w:cstheme="minorHAnsi"/>
          <w:sz w:val="24"/>
        </w:rPr>
      </w:pPr>
      <w:r w:rsidRPr="008F4AAB">
        <w:rPr>
          <w:rFonts w:asciiTheme="minorHAnsi" w:hAnsiTheme="minorHAnsi" w:cstheme="minorHAnsi"/>
          <w:sz w:val="24"/>
        </w:rPr>
        <w:t xml:space="preserve">The role of accounting conservatism in the equity market: Evidence from seasoned equity offerings, (with </w:t>
      </w:r>
      <w:proofErr w:type="spellStart"/>
      <w:r w:rsidRPr="008F4AAB">
        <w:rPr>
          <w:rFonts w:asciiTheme="minorHAnsi" w:hAnsiTheme="minorHAnsi" w:cstheme="minorHAnsi"/>
          <w:sz w:val="24"/>
        </w:rPr>
        <w:t>Siqi</w:t>
      </w:r>
      <w:proofErr w:type="spellEnd"/>
      <w:r w:rsidRPr="008F4AAB">
        <w:rPr>
          <w:rFonts w:asciiTheme="minorHAnsi" w:hAnsiTheme="minorHAnsi" w:cstheme="minorHAnsi"/>
          <w:sz w:val="24"/>
        </w:rPr>
        <w:t xml:space="preserve"> Li, Carrie Pan, and Luo </w:t>
      </w:r>
      <w:proofErr w:type="spellStart"/>
      <w:r w:rsidRPr="008F4AAB">
        <w:rPr>
          <w:rFonts w:asciiTheme="minorHAnsi" w:hAnsiTheme="minorHAnsi" w:cstheme="minorHAnsi"/>
          <w:sz w:val="24"/>
        </w:rPr>
        <w:t>Zuo</w:t>
      </w:r>
      <w:proofErr w:type="spellEnd"/>
      <w:r w:rsidRPr="008F4AAB">
        <w:rPr>
          <w:rFonts w:asciiTheme="minorHAnsi" w:hAnsiTheme="minorHAnsi" w:cstheme="minorHAnsi"/>
          <w:sz w:val="24"/>
        </w:rPr>
        <w:t xml:space="preserve">), </w:t>
      </w:r>
      <w:r w:rsidRPr="008F4AAB">
        <w:rPr>
          <w:rFonts w:asciiTheme="minorHAnsi" w:hAnsiTheme="minorHAnsi" w:cstheme="minorHAnsi"/>
          <w:i/>
          <w:iCs/>
          <w:sz w:val="24"/>
        </w:rPr>
        <w:t>The Accounting Review</w:t>
      </w:r>
      <w:r w:rsidRPr="008F4AAB">
        <w:rPr>
          <w:rFonts w:asciiTheme="minorHAnsi" w:hAnsiTheme="minorHAnsi" w:cstheme="minorHAnsi"/>
          <w:sz w:val="24"/>
        </w:rPr>
        <w:t>, 2013, Volume 88, Issue 4, 1327-1356.</w:t>
      </w:r>
    </w:p>
    <w:p w:rsidR="006A7ED2" w:rsidRPr="008F4AAB" w:rsidRDefault="009945B3" w:rsidP="006A7ED2">
      <w:pPr>
        <w:snapToGrid w:val="0"/>
        <w:jc w:val="both"/>
        <w:rPr>
          <w:rFonts w:asciiTheme="minorHAnsi" w:hAnsiTheme="minorHAnsi" w:cstheme="minorHAnsi"/>
          <w:sz w:val="24"/>
        </w:rPr>
      </w:pPr>
      <w:hyperlink r:id="rId14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</w:rPr>
          <w:t>https://doi.org/10.2308/accr-50420</w:t>
        </w:r>
      </w:hyperlink>
    </w:p>
    <w:p w:rsidR="009945B3" w:rsidRPr="008F4AAB" w:rsidRDefault="009945B3" w:rsidP="006A7ED2">
      <w:pPr>
        <w:snapToGrid w:val="0"/>
        <w:jc w:val="both"/>
        <w:rPr>
          <w:rFonts w:asciiTheme="minorHAnsi" w:hAnsiTheme="minorHAnsi" w:cstheme="minorHAnsi"/>
          <w:sz w:val="24"/>
        </w:rPr>
      </w:pPr>
    </w:p>
    <w:p w:rsidR="006A7ED2" w:rsidRPr="008F4AAB" w:rsidRDefault="006A7ED2" w:rsidP="006A7ED2">
      <w:pPr>
        <w:snapToGrid w:val="0"/>
        <w:jc w:val="both"/>
        <w:rPr>
          <w:rFonts w:asciiTheme="minorHAnsi" w:hAnsiTheme="minorHAnsi" w:cstheme="minorHAnsi"/>
          <w:caps/>
          <w:sz w:val="24"/>
        </w:rPr>
      </w:pPr>
      <w:r w:rsidRPr="008F4AAB">
        <w:rPr>
          <w:rFonts w:asciiTheme="minorHAnsi" w:hAnsiTheme="minorHAnsi" w:cstheme="minorHAnsi"/>
          <w:sz w:val="24"/>
        </w:rPr>
        <w:t xml:space="preserve">Is earnings quality associated with corporate social responsibility? (with Myung Seok Park and Benson Wier), </w:t>
      </w:r>
      <w:r w:rsidRPr="008F4AAB">
        <w:rPr>
          <w:rFonts w:asciiTheme="minorHAnsi" w:hAnsiTheme="minorHAnsi" w:cstheme="minorHAnsi"/>
          <w:i/>
          <w:sz w:val="24"/>
        </w:rPr>
        <w:t>The Accounting Review</w:t>
      </w:r>
      <w:r w:rsidRPr="008F4AAB">
        <w:rPr>
          <w:rFonts w:asciiTheme="minorHAnsi" w:hAnsiTheme="minorHAnsi" w:cstheme="minorHAnsi"/>
          <w:sz w:val="24"/>
        </w:rPr>
        <w:t>, 2012, Volume 87, Issue 3, 761-796.</w:t>
      </w:r>
    </w:p>
    <w:p w:rsidR="006A7ED2" w:rsidRPr="008F4AAB" w:rsidRDefault="009945B3" w:rsidP="006A7ED2">
      <w:pPr>
        <w:snapToGrid w:val="0"/>
        <w:jc w:val="both"/>
        <w:rPr>
          <w:rFonts w:asciiTheme="minorHAnsi" w:hAnsiTheme="minorHAnsi" w:cstheme="minorHAnsi"/>
          <w:sz w:val="24"/>
        </w:rPr>
      </w:pPr>
      <w:hyperlink r:id="rId15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</w:rPr>
          <w:t>https://doi.org/10.2308/accr-10209</w:t>
        </w:r>
      </w:hyperlink>
    </w:p>
    <w:p w:rsidR="009945B3" w:rsidRPr="008F4AAB" w:rsidRDefault="009945B3" w:rsidP="006A7ED2">
      <w:pPr>
        <w:snapToGrid w:val="0"/>
        <w:jc w:val="both"/>
        <w:rPr>
          <w:rFonts w:asciiTheme="minorHAnsi" w:hAnsiTheme="minorHAnsi" w:cstheme="minorHAnsi"/>
          <w:sz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8F4AAB">
        <w:rPr>
          <w:rFonts w:asciiTheme="minorHAnsi" w:hAnsiTheme="minorHAnsi" w:cstheme="minorHAnsi"/>
          <w:sz w:val="24"/>
          <w:szCs w:val="24"/>
        </w:rPr>
        <w:t xml:space="preserve">Does eliminating the Form 20-F reconciliation from IFRS to U.S. GAAP have capital market consequences? (with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Haidan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Li and </w:t>
      </w:r>
      <w:proofErr w:type="spellStart"/>
      <w:r w:rsidRPr="008F4AAB">
        <w:rPr>
          <w:rFonts w:asciiTheme="minorHAnsi" w:hAnsiTheme="minorHAnsi" w:cstheme="minorHAnsi"/>
          <w:sz w:val="24"/>
          <w:szCs w:val="24"/>
        </w:rPr>
        <w:t>Siqi</w:t>
      </w:r>
      <w:proofErr w:type="spellEnd"/>
      <w:r w:rsidRPr="008F4AAB">
        <w:rPr>
          <w:rFonts w:asciiTheme="minorHAnsi" w:hAnsiTheme="minorHAnsi" w:cstheme="minorHAnsi"/>
          <w:sz w:val="24"/>
          <w:szCs w:val="24"/>
        </w:rPr>
        <w:t xml:space="preserve"> Li), </w:t>
      </w:r>
      <w:r w:rsidRPr="008F4AAB">
        <w:rPr>
          <w:rFonts w:asciiTheme="minorHAnsi" w:hAnsiTheme="minorHAnsi" w:cstheme="minorHAnsi"/>
          <w:i/>
          <w:sz w:val="24"/>
          <w:szCs w:val="24"/>
        </w:rPr>
        <w:t>Journal of Accounting and Economics</w:t>
      </w:r>
      <w:r w:rsidRPr="008F4AAB">
        <w:rPr>
          <w:rFonts w:asciiTheme="minorHAnsi" w:hAnsiTheme="minorHAnsi" w:cstheme="minorHAnsi"/>
          <w:sz w:val="24"/>
          <w:szCs w:val="24"/>
        </w:rPr>
        <w:t>, 2012, Volume 53, Issues 1-2, 249-270.</w:t>
      </w:r>
    </w:p>
    <w:p w:rsidR="006A7ED2" w:rsidRPr="008F4AAB" w:rsidRDefault="009945B3" w:rsidP="006A7ED2">
      <w:pPr>
        <w:pStyle w:val="Default"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hyperlink r:id="rId16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https://doi.org/10.1016/j.jacceco.2011.05.001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Positive and negative information transfers from management forecasts, (with Michael </w:t>
      </w:r>
      <w:proofErr w:type="spellStart"/>
      <w:r w:rsidRPr="008F4AAB">
        <w:rPr>
          <w:rStyle w:val="a"/>
          <w:rFonts w:asciiTheme="minorHAnsi" w:hAnsiTheme="minorHAnsi" w:cstheme="minorHAnsi"/>
          <w:sz w:val="24"/>
          <w:szCs w:val="24"/>
        </w:rPr>
        <w:t>Lacina</w:t>
      </w:r>
      <w:proofErr w:type="spellEnd"/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 and Myung Seok Park), </w:t>
      </w:r>
      <w:r w:rsidRPr="008F4AAB">
        <w:rPr>
          <w:rStyle w:val="a"/>
          <w:rFonts w:asciiTheme="minorHAnsi" w:hAnsiTheme="minorHAnsi" w:cstheme="minorHAnsi"/>
          <w:i/>
          <w:sz w:val="24"/>
          <w:szCs w:val="24"/>
        </w:rPr>
        <w:t>Journal of Accounting Research</w:t>
      </w:r>
      <w:r w:rsidRPr="008F4AAB">
        <w:rPr>
          <w:rStyle w:val="a"/>
          <w:rFonts w:asciiTheme="minorHAnsi" w:hAnsiTheme="minorHAnsi" w:cstheme="minorHAnsi"/>
          <w:sz w:val="24"/>
          <w:szCs w:val="24"/>
        </w:rPr>
        <w:t>, 2008, Volume 46, Number 4, 885-908.</w:t>
      </w:r>
    </w:p>
    <w:p w:rsidR="006A7ED2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hyperlink r:id="rId17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https://doi.org/10.1111/j.1475-679X.2008.00297.x</w:t>
        </w:r>
      </w:hyperlink>
    </w:p>
    <w:p w:rsidR="009945B3" w:rsidRPr="008F4AAB" w:rsidRDefault="009945B3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p w:rsidR="006A7ED2" w:rsidRPr="008F4AAB" w:rsidRDefault="006A7ED2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Disclosure frequency and earnings management, (with </w:t>
      </w:r>
      <w:proofErr w:type="spellStart"/>
      <w:r w:rsidRPr="008F4AAB">
        <w:rPr>
          <w:rStyle w:val="a"/>
          <w:rFonts w:asciiTheme="minorHAnsi" w:hAnsiTheme="minorHAnsi" w:cstheme="minorHAnsi"/>
          <w:sz w:val="24"/>
          <w:szCs w:val="24"/>
        </w:rPr>
        <w:t>Hoje</w:t>
      </w:r>
      <w:proofErr w:type="spellEnd"/>
      <w:r w:rsidRPr="008F4AAB">
        <w:rPr>
          <w:rStyle w:val="a"/>
          <w:rFonts w:asciiTheme="minorHAnsi" w:hAnsiTheme="minorHAnsi" w:cstheme="minorHAnsi"/>
          <w:sz w:val="24"/>
          <w:szCs w:val="24"/>
        </w:rPr>
        <w:t xml:space="preserve"> Jo), </w:t>
      </w:r>
      <w:r w:rsidRPr="008F4AAB">
        <w:rPr>
          <w:rStyle w:val="a"/>
          <w:rFonts w:asciiTheme="minorHAnsi" w:hAnsiTheme="minorHAnsi" w:cstheme="minorHAnsi"/>
          <w:i/>
          <w:sz w:val="24"/>
          <w:szCs w:val="24"/>
        </w:rPr>
        <w:t>Journal of Financial Economics</w:t>
      </w:r>
      <w:r w:rsidRPr="008F4AAB">
        <w:rPr>
          <w:rStyle w:val="a"/>
          <w:rFonts w:asciiTheme="minorHAnsi" w:hAnsiTheme="minorHAnsi" w:cstheme="minorHAnsi"/>
          <w:sz w:val="24"/>
          <w:szCs w:val="24"/>
        </w:rPr>
        <w:t>, 2007, Volume 84, Number 2, 561–590.</w:t>
      </w:r>
    </w:p>
    <w:p w:rsidR="008F4AAB" w:rsidRPr="008F4AAB" w:rsidRDefault="008F4AAB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  <w:hyperlink r:id="rId18" w:history="1">
        <w:r w:rsidRPr="008F4AAB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https://doi.org/10.1016/j.jfineco.2006.03.007</w:t>
        </w:r>
      </w:hyperlink>
    </w:p>
    <w:p w:rsidR="008F4AAB" w:rsidRPr="008F4AAB" w:rsidRDefault="008F4AAB" w:rsidP="006A7ED2">
      <w:pPr>
        <w:pStyle w:val="Default"/>
        <w:snapToGrid w:val="0"/>
        <w:jc w:val="both"/>
        <w:rPr>
          <w:rStyle w:val="a"/>
          <w:rFonts w:asciiTheme="minorHAnsi" w:hAnsiTheme="minorHAnsi" w:cstheme="minorHAnsi"/>
          <w:sz w:val="24"/>
          <w:szCs w:val="24"/>
        </w:rPr>
      </w:pPr>
    </w:p>
    <w:sectPr w:rsidR="008F4AAB" w:rsidRPr="008F4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D2"/>
    <w:rsid w:val="006A7ED2"/>
    <w:rsid w:val="00745BC0"/>
    <w:rsid w:val="008F4AAB"/>
    <w:rsid w:val="009734FB"/>
    <w:rsid w:val="009945B3"/>
    <w:rsid w:val="00E7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81D0D"/>
  <w15:chartTrackingRefBased/>
  <w15:docId w15:val="{0831F514-F946-8F49-B764-D62C3B45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D2"/>
    <w:pPr>
      <w:widowControl w:val="0"/>
      <w:autoSpaceDE w:val="0"/>
      <w:autoSpaceDN w:val="0"/>
      <w:adjustRightInd w:val="0"/>
    </w:pPr>
    <w:rPr>
      <w:rFonts w:ascii="TimesNewRoman,Bold" w:eastAsia="Batang" w:hAnsi="TimesNewRoman,Bold" w:cs="Times New Roman"/>
      <w:kern w:val="0"/>
      <w:sz w:val="20"/>
      <w:lang w:eastAsia="en-US"/>
      <w14:ligatures w14:val="none"/>
    </w:rPr>
  </w:style>
  <w:style w:type="paragraph" w:styleId="Heading2">
    <w:name w:val="heading 2"/>
    <w:basedOn w:val="Default"/>
    <w:next w:val="Default"/>
    <w:link w:val="Heading2Char"/>
    <w:qFormat/>
    <w:rsid w:val="006A7ED2"/>
    <w:pPr>
      <w:outlineLvl w:val="1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7ED2"/>
    <w:rPr>
      <w:rFonts w:ascii="TimesNewRoman,Bold" w:eastAsia="Batang" w:hAnsi="TimesNewRoman,Bold" w:cs="Times New Roman"/>
      <w:kern w:val="0"/>
      <w:sz w:val="20"/>
      <w:lang w:eastAsia="en-US"/>
      <w14:ligatures w14:val="none"/>
    </w:rPr>
  </w:style>
  <w:style w:type="paragraph" w:customStyle="1" w:styleId="Default">
    <w:name w:val="Default"/>
    <w:rsid w:val="006A7ED2"/>
    <w:pPr>
      <w:widowControl w:val="0"/>
      <w:autoSpaceDE w:val="0"/>
      <w:autoSpaceDN w:val="0"/>
      <w:adjustRightInd w:val="0"/>
    </w:pPr>
    <w:rPr>
      <w:rFonts w:ascii="TimesNewRoman,Bold" w:eastAsia="Batang" w:hAnsi="TimesNewRoman,Bold" w:cs="Times New Roman"/>
      <w:kern w:val="0"/>
      <w:sz w:val="20"/>
      <w:szCs w:val="20"/>
      <w:lang w:eastAsia="en-US"/>
      <w14:ligatures w14:val="none"/>
    </w:rPr>
  </w:style>
  <w:style w:type="character" w:customStyle="1" w:styleId="a">
    <w:name w:val="?"/>
    <w:rsid w:val="006A7ED2"/>
  </w:style>
  <w:style w:type="character" w:styleId="Hyperlink">
    <w:name w:val="Hyperlink"/>
    <w:basedOn w:val="DefaultParagraphFont"/>
    <w:uiPriority w:val="99"/>
    <w:unhideWhenUsed/>
    <w:rsid w:val="00994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08/tar-2017-0129" TargetMode="External"/><Relationship Id="rId13" Type="http://schemas.openxmlformats.org/officeDocument/2006/relationships/hyperlink" Target="https://doi.org/10.2308/accr-50586" TargetMode="External"/><Relationship Id="rId18" Type="http://schemas.openxmlformats.org/officeDocument/2006/relationships/hyperlink" Target="https://doi.org/10.1016/j.jfineco.2006.03.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jacceco.2020.101318" TargetMode="External"/><Relationship Id="rId12" Type="http://schemas.openxmlformats.org/officeDocument/2006/relationships/hyperlink" Target="https://doi.org/10.1016/j.jacceco.2015.01.004" TargetMode="External"/><Relationship Id="rId17" Type="http://schemas.openxmlformats.org/officeDocument/2006/relationships/hyperlink" Target="https://doi.org/10.1111/j.1475-679X.2008.00297.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jacceco.2011.05.00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2308/tar-2017-0425" TargetMode="External"/><Relationship Id="rId11" Type="http://schemas.openxmlformats.org/officeDocument/2006/relationships/hyperlink" Target="https://doi.org/10.1016/j.jacceco.2017.04.001" TargetMode="External"/><Relationship Id="rId5" Type="http://schemas.openxmlformats.org/officeDocument/2006/relationships/hyperlink" Target="https://doi.org/10.2308/TAR-2018-0057" TargetMode="External"/><Relationship Id="rId15" Type="http://schemas.openxmlformats.org/officeDocument/2006/relationships/hyperlink" Target="https://doi.org/10.2308/accr-10209" TargetMode="External"/><Relationship Id="rId10" Type="http://schemas.openxmlformats.org/officeDocument/2006/relationships/hyperlink" Target="https://link.springer.com/article/10.1057/jibs.2016.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i.org/10.2308/TAR-2020-0255" TargetMode="External"/><Relationship Id="rId9" Type="http://schemas.openxmlformats.org/officeDocument/2006/relationships/hyperlink" Target="https://doi.org/10.2308/accr-52205" TargetMode="External"/><Relationship Id="rId14" Type="http://schemas.openxmlformats.org/officeDocument/2006/relationships/hyperlink" Target="https://doi.org/10.2308/accr-5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Yongtae Kim</dc:creator>
  <cp:keywords/>
  <dc:description/>
  <cp:lastModifiedBy>Yongtae Kim</cp:lastModifiedBy>
  <cp:revision>3</cp:revision>
  <dcterms:created xsi:type="dcterms:W3CDTF">2025-11-02T16:58:00Z</dcterms:created>
  <dcterms:modified xsi:type="dcterms:W3CDTF">2025-11-02T17:09:00Z</dcterms:modified>
</cp:coreProperties>
</file>